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FB" w:rsidRPr="00C55CB4" w:rsidRDefault="00FD4FFB" w:rsidP="00FD4FFB">
      <w:pPr>
        <w:rPr>
          <w:rFonts w:ascii="Comic Sans MS" w:hAnsi="Comic Sans MS"/>
          <w:b/>
          <w:sz w:val="36"/>
          <w:szCs w:val="36"/>
          <w:lang w:val="en-US"/>
        </w:rPr>
      </w:pPr>
      <w:proofErr w:type="spellStart"/>
      <w:r w:rsidRPr="00C55CB4">
        <w:rPr>
          <w:rFonts w:ascii="Comic Sans MS" w:hAnsi="Comic Sans MS"/>
          <w:b/>
          <w:color w:val="FF0000"/>
          <w:sz w:val="36"/>
          <w:szCs w:val="36"/>
          <w:lang w:val="en-US"/>
        </w:rPr>
        <w:t>Linteo</w:t>
      </w:r>
      <w:proofErr w:type="spellEnd"/>
      <w:r w:rsidRPr="00C55CB4"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b/>
          <w:sz w:val="36"/>
          <w:szCs w:val="36"/>
          <w:lang w:val="en-US"/>
        </w:rPr>
        <w:t xml:space="preserve">– </w:t>
      </w:r>
      <w:proofErr w:type="spellStart"/>
      <w:r>
        <w:rPr>
          <w:rFonts w:ascii="Comic Sans MS" w:hAnsi="Comic Sans MS"/>
          <w:b/>
          <w:sz w:val="36"/>
          <w:szCs w:val="36"/>
          <w:lang w:val="en-US"/>
        </w:rPr>
        <w:t>Primitivo</w:t>
      </w:r>
      <w:proofErr w:type="spellEnd"/>
      <w:r>
        <w:rPr>
          <w:rFonts w:ascii="Comic Sans MS" w:hAnsi="Comic Sans MS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Comic Sans MS" w:hAnsi="Comic Sans MS"/>
          <w:b/>
          <w:sz w:val="36"/>
          <w:szCs w:val="36"/>
          <w:lang w:val="en-US"/>
        </w:rPr>
        <w:t>di</w:t>
      </w:r>
      <w:proofErr w:type="spellEnd"/>
      <w:r>
        <w:rPr>
          <w:rFonts w:ascii="Comic Sans MS" w:hAnsi="Comic Sans MS"/>
          <w:b/>
          <w:sz w:val="36"/>
          <w:szCs w:val="36"/>
          <w:lang w:val="en-US"/>
        </w:rPr>
        <w:t xml:space="preserve"> Puglia I.G.T 2008</w:t>
      </w:r>
    </w:p>
    <w:p w:rsidR="00FD4FFB" w:rsidRPr="00C55CB4" w:rsidRDefault="00FD4FFB" w:rsidP="00FD4FFB">
      <w:pPr>
        <w:rPr>
          <w:rFonts w:ascii="Comic Sans MS" w:hAnsi="Comic Sans MS"/>
          <w:sz w:val="20"/>
          <w:szCs w:val="20"/>
        </w:rPr>
      </w:pPr>
      <w:r w:rsidRPr="00FD4FFB">
        <w:rPr>
          <w:rFonts w:ascii="Comic Sans MS" w:hAnsi="Comic Sans MS"/>
          <w:sz w:val="20"/>
          <w:szCs w:val="20"/>
          <w:lang w:val="en-US"/>
        </w:rPr>
        <w:tab/>
      </w:r>
      <w:r w:rsidRPr="00FD4FFB">
        <w:rPr>
          <w:rFonts w:ascii="Comic Sans MS" w:hAnsi="Comic Sans MS"/>
          <w:sz w:val="20"/>
          <w:szCs w:val="20"/>
          <w:lang w:val="en-US"/>
        </w:rPr>
        <w:tab/>
      </w:r>
      <w:r w:rsidRPr="00C55CB4">
        <w:rPr>
          <w:rFonts w:ascii="Comic Sans MS" w:hAnsi="Comic Sans MS"/>
          <w:sz w:val="20"/>
          <w:szCs w:val="20"/>
        </w:rPr>
        <w:t>Land: Italien</w:t>
      </w:r>
      <w:r w:rsidRPr="00C55CB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C55CB4">
        <w:rPr>
          <w:rFonts w:ascii="Comic Sans MS" w:hAnsi="Comic Sans MS"/>
          <w:sz w:val="20"/>
          <w:szCs w:val="20"/>
        </w:rPr>
        <w:t>Region: Apulien</w:t>
      </w:r>
    </w:p>
    <w:p w:rsidR="00FD4FFB" w:rsidRPr="00C55CB4" w:rsidRDefault="00FD4FFB" w:rsidP="00FD4FFB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Look w:val="04A0"/>
      </w:tblPr>
      <w:tblGrid>
        <w:gridCol w:w="3147"/>
        <w:gridCol w:w="3577"/>
        <w:gridCol w:w="2564"/>
      </w:tblGrid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4D2884">
              <w:rPr>
                <w:rFonts w:ascii="Comic Sans MS" w:hAnsi="Comic Sans MS"/>
                <w:b/>
                <w:color w:val="FF0000"/>
              </w:rPr>
              <w:t>Weingut / Winzer</w:t>
            </w: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D2884">
              <w:rPr>
                <w:rFonts w:ascii="Comic Sans MS" w:hAnsi="Comic Sans MS"/>
                <w:sz w:val="20"/>
                <w:szCs w:val="20"/>
              </w:rPr>
              <w:t xml:space="preserve">Vor einigen Jahren hat die Kellerei </w:t>
            </w:r>
            <w:proofErr w:type="spellStart"/>
            <w:r w:rsidRPr="004D2884">
              <w:rPr>
                <w:rFonts w:ascii="Comic Sans MS" w:hAnsi="Comic Sans MS"/>
                <w:sz w:val="20"/>
                <w:szCs w:val="20"/>
              </w:rPr>
              <w:t>Minini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</w:rPr>
              <w:t xml:space="preserve"> in Zusammenarbeit mit einem befreundeten Winzer aus Süditalien das Projekt „</w:t>
            </w:r>
            <w:proofErr w:type="spellStart"/>
            <w:r w:rsidRPr="004D2884">
              <w:rPr>
                <w:rFonts w:ascii="Comic Sans MS" w:hAnsi="Comic Sans MS"/>
                <w:sz w:val="20"/>
                <w:szCs w:val="20"/>
              </w:rPr>
              <w:t>Linteo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</w:rPr>
              <w:t xml:space="preserve"> Weine“ gestartet. Das </w:t>
            </w:r>
            <w:proofErr w:type="spellStart"/>
            <w:r w:rsidRPr="004D2884">
              <w:rPr>
                <w:rFonts w:ascii="Comic Sans MS" w:hAnsi="Comic Sans MS"/>
                <w:sz w:val="20"/>
                <w:szCs w:val="20"/>
              </w:rPr>
              <w:t>Know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D2884">
              <w:rPr>
                <w:rFonts w:ascii="Comic Sans MS" w:hAnsi="Comic Sans MS"/>
                <w:sz w:val="20"/>
                <w:szCs w:val="20"/>
              </w:rPr>
              <w:t>How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</w:rPr>
              <w:t xml:space="preserve"> im Umgang mit den Rebsorten Süditaliens gepaart mit dem</w:t>
            </w:r>
            <w:r>
              <w:rPr>
                <w:rFonts w:ascii="Comic Sans MS" w:hAnsi="Comic Sans MS"/>
                <w:sz w:val="20"/>
                <w:szCs w:val="20"/>
              </w:rPr>
              <w:t xml:space="preserve"> Kapital und den Qualitätsansprü</w:t>
            </w:r>
            <w:r w:rsidRPr="004D2884">
              <w:rPr>
                <w:rFonts w:ascii="Comic Sans MS" w:hAnsi="Comic Sans MS"/>
                <w:sz w:val="20"/>
                <w:szCs w:val="20"/>
              </w:rPr>
              <w:t>chen des Nordens feierte schnell Erfolge und das Ziel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typische Weine des Südens auf hohem Qualitätsniveau zu vernünftigen Preisen  zu erzeugen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wurde mit diesen Weinen nachhaltig erreicht. </w:t>
            </w: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4D2884">
              <w:rPr>
                <w:rFonts w:ascii="Comic Sans MS" w:hAnsi="Comic Sans MS"/>
                <w:b/>
                <w:color w:val="FF0000"/>
              </w:rPr>
              <w:t>Wein</w:t>
            </w: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8A5118" w:rsidRDefault="00FD4FFB" w:rsidP="005A3E3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5118">
              <w:rPr>
                <w:rFonts w:ascii="Comic Sans MS" w:hAnsi="Comic Sans MS"/>
                <w:sz w:val="20"/>
                <w:szCs w:val="20"/>
              </w:rPr>
              <w:t>Farbe: Intensives Rubinrot mit violetten Reflexen. In der Nase: intensives volles Bukett nach reifen Früchten. Der Wein ist voll im Geschmack und lebhaft, elegant, aber mit robustem Charakter und hat einen süßen Fruchtschmelz.</w:t>
            </w:r>
            <w:r>
              <w:rPr>
                <w:rFonts w:ascii="Comic Sans MS" w:hAnsi="Comic Sans MS"/>
                <w:sz w:val="20"/>
                <w:szCs w:val="20"/>
              </w:rPr>
              <w:t xml:space="preserve"> Ein Wein zu fast jeder Gelegenheit.</w:t>
            </w: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4D2884">
              <w:rPr>
                <w:rFonts w:ascii="Comic Sans MS" w:hAnsi="Comic Sans MS"/>
                <w:b/>
                <w:color w:val="FF0000"/>
              </w:rPr>
              <w:t>Der Wein passt zu:</w:t>
            </w: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jc w:val="both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4D2884">
              <w:rPr>
                <w:rFonts w:ascii="Comic Sans MS" w:hAnsi="Comic Sans MS"/>
                <w:sz w:val="20"/>
                <w:szCs w:val="20"/>
              </w:rPr>
              <w:t>Kräftige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Gerichte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von Schwein und Rind,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D2884">
              <w:rPr>
                <w:rFonts w:ascii="Comic Sans MS" w:hAnsi="Comic Sans MS"/>
                <w:sz w:val="20"/>
                <w:szCs w:val="20"/>
              </w:rPr>
              <w:t>gegrillte</w:t>
            </w:r>
            <w:r>
              <w:rPr>
                <w:rFonts w:ascii="Comic Sans MS" w:hAnsi="Comic Sans MS"/>
                <w:sz w:val="20"/>
                <w:szCs w:val="20"/>
              </w:rPr>
              <w:t>m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Fleisch, Lamm und Wild, </w:t>
            </w:r>
            <w:r>
              <w:rPr>
                <w:rFonts w:ascii="Comic Sans MS" w:hAnsi="Comic Sans MS"/>
                <w:sz w:val="20"/>
                <w:szCs w:val="20"/>
              </w:rPr>
              <w:t>würzigen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Käsesorten</w:t>
            </w:r>
            <w:r>
              <w:rPr>
                <w:rFonts w:ascii="Comic Sans MS" w:hAnsi="Comic Sans MS"/>
                <w:sz w:val="20"/>
                <w:szCs w:val="20"/>
              </w:rPr>
              <w:t xml:space="preserve"> und Pizza</w:t>
            </w: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</w:tr>
      <w:tr w:rsidR="00FD4FFB" w:rsidRPr="004D2884" w:rsidTr="005A3E3A">
        <w:trPr>
          <w:gridAfter w:val="1"/>
          <w:wAfter w:w="3006" w:type="dxa"/>
        </w:trPr>
        <w:tc>
          <w:tcPr>
            <w:tcW w:w="7343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4D2884">
              <w:rPr>
                <w:rFonts w:ascii="Comic Sans MS" w:hAnsi="Comic Sans MS"/>
                <w:b/>
                <w:color w:val="FF0000"/>
              </w:rPr>
              <w:t>Das wichtigste in Kürze:</w:t>
            </w:r>
          </w:p>
        </w:tc>
      </w:tr>
      <w:tr w:rsidR="00FD4FFB" w:rsidRPr="004D2884" w:rsidTr="005A3E3A">
        <w:tc>
          <w:tcPr>
            <w:tcW w:w="3222" w:type="dxa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D2884">
              <w:rPr>
                <w:rFonts w:ascii="Comic Sans MS" w:hAnsi="Comic Sans MS"/>
                <w:b/>
                <w:sz w:val="20"/>
                <w:szCs w:val="20"/>
              </w:rPr>
              <w:t>Rebsorte(n)</w:t>
            </w:r>
          </w:p>
        </w:tc>
        <w:tc>
          <w:tcPr>
            <w:tcW w:w="7122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D2884">
              <w:rPr>
                <w:rFonts w:ascii="Comic Sans MS" w:hAnsi="Comic Sans MS"/>
                <w:sz w:val="20"/>
                <w:szCs w:val="20"/>
              </w:rPr>
              <w:t>100% Primitivo</w:t>
            </w:r>
            <w:r>
              <w:rPr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Zinfandel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FD4FFB" w:rsidRPr="004D2884" w:rsidTr="005A3E3A">
        <w:tc>
          <w:tcPr>
            <w:tcW w:w="3222" w:type="dxa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D2884">
              <w:rPr>
                <w:rFonts w:ascii="Comic Sans MS" w:hAnsi="Comic Sans MS"/>
                <w:b/>
                <w:sz w:val="20"/>
                <w:szCs w:val="20"/>
              </w:rPr>
              <w:t>Qualitätsstufe/Appellation</w:t>
            </w:r>
          </w:p>
        </w:tc>
        <w:tc>
          <w:tcPr>
            <w:tcW w:w="7122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 w:rsidRPr="004D2884">
              <w:rPr>
                <w:rFonts w:ascii="Comic Sans MS" w:hAnsi="Comic Sans MS"/>
                <w:sz w:val="20"/>
                <w:szCs w:val="20"/>
                <w:lang w:val="en-US"/>
              </w:rPr>
              <w:t>Indicazione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G</w:t>
            </w:r>
            <w:r w:rsidRPr="004D2884">
              <w:rPr>
                <w:rFonts w:ascii="Comic Sans MS" w:hAnsi="Comic Sans MS"/>
                <w:sz w:val="20"/>
                <w:szCs w:val="20"/>
                <w:lang w:val="en-US"/>
              </w:rPr>
              <w:t>eografica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</w:t>
            </w:r>
            <w:r w:rsidRPr="004D2884">
              <w:rPr>
                <w:rFonts w:ascii="Comic Sans MS" w:hAnsi="Comic Sans MS"/>
                <w:sz w:val="20"/>
                <w:szCs w:val="20"/>
                <w:lang w:val="en-US"/>
              </w:rPr>
              <w:t>ipica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  <w:lang w:val="en-US"/>
              </w:rPr>
              <w:t xml:space="preserve"> (I.G.T)</w:t>
            </w:r>
          </w:p>
        </w:tc>
      </w:tr>
      <w:tr w:rsidR="00FD4FFB" w:rsidRPr="004D2884" w:rsidTr="005A3E3A">
        <w:tc>
          <w:tcPr>
            <w:tcW w:w="3222" w:type="dxa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D2884">
              <w:rPr>
                <w:rFonts w:ascii="Comic Sans MS" w:hAnsi="Comic Sans MS"/>
                <w:b/>
                <w:sz w:val="20"/>
                <w:szCs w:val="20"/>
              </w:rPr>
              <w:t>Charakteristik</w:t>
            </w:r>
          </w:p>
        </w:tc>
        <w:tc>
          <w:tcPr>
            <w:tcW w:w="7122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D2884">
              <w:rPr>
                <w:rFonts w:ascii="Comic Sans MS" w:hAnsi="Comic Sans MS"/>
                <w:sz w:val="20"/>
                <w:szCs w:val="20"/>
              </w:rPr>
              <w:t xml:space="preserve">Rotwein, trocken, </w:t>
            </w:r>
            <w:r>
              <w:rPr>
                <w:rFonts w:ascii="Comic Sans MS" w:hAnsi="Comic Sans MS"/>
                <w:sz w:val="20"/>
                <w:szCs w:val="20"/>
              </w:rPr>
              <w:t>rund, gehaltvoll, sehr harmonisch 0,75 l</w:t>
            </w:r>
          </w:p>
        </w:tc>
      </w:tr>
      <w:tr w:rsidR="00FD4FFB" w:rsidRPr="004D2884" w:rsidTr="005A3E3A">
        <w:tc>
          <w:tcPr>
            <w:tcW w:w="3222" w:type="dxa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D2884">
              <w:rPr>
                <w:rFonts w:ascii="Comic Sans MS" w:hAnsi="Comic Sans MS"/>
                <w:b/>
                <w:sz w:val="20"/>
                <w:szCs w:val="20"/>
              </w:rPr>
              <w:t>Analyse</w:t>
            </w:r>
          </w:p>
        </w:tc>
        <w:tc>
          <w:tcPr>
            <w:tcW w:w="7122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D2884">
              <w:rPr>
                <w:rFonts w:ascii="Comic Sans MS" w:hAnsi="Comic Sans MS"/>
                <w:sz w:val="20"/>
                <w:szCs w:val="20"/>
              </w:rPr>
              <w:t xml:space="preserve">13,5 % </w:t>
            </w:r>
            <w:proofErr w:type="spellStart"/>
            <w:r w:rsidRPr="004D2884">
              <w:rPr>
                <w:rFonts w:ascii="Comic Sans MS" w:hAnsi="Comic Sans MS"/>
                <w:sz w:val="20"/>
                <w:szCs w:val="20"/>
              </w:rPr>
              <w:t>Alc</w:t>
            </w:r>
            <w:proofErr w:type="spellEnd"/>
            <w:r w:rsidRPr="004D2884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4,0</w:t>
            </w:r>
            <w:r w:rsidRPr="004D2884">
              <w:rPr>
                <w:rFonts w:ascii="Comic Sans MS" w:hAnsi="Comic Sans MS"/>
                <w:sz w:val="20"/>
                <w:szCs w:val="20"/>
              </w:rPr>
              <w:t>g</w:t>
            </w:r>
            <w:r>
              <w:rPr>
                <w:rFonts w:ascii="Comic Sans MS" w:hAnsi="Comic Sans MS"/>
                <w:sz w:val="20"/>
                <w:szCs w:val="20"/>
              </w:rPr>
              <w:t>/l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Zucker, 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Pr="004D2884">
              <w:rPr>
                <w:rFonts w:ascii="Comic Sans MS" w:hAnsi="Comic Sans MS"/>
                <w:sz w:val="20"/>
                <w:szCs w:val="20"/>
              </w:rPr>
              <w:t>,0g</w:t>
            </w:r>
            <w:r>
              <w:rPr>
                <w:rFonts w:ascii="Comic Sans MS" w:hAnsi="Comic Sans MS"/>
                <w:sz w:val="20"/>
                <w:szCs w:val="20"/>
              </w:rPr>
              <w:t>/l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Säure</w:t>
            </w:r>
          </w:p>
        </w:tc>
      </w:tr>
      <w:tr w:rsidR="00FD4FFB" w:rsidRPr="004D2884" w:rsidTr="005A3E3A">
        <w:tc>
          <w:tcPr>
            <w:tcW w:w="3222" w:type="dxa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D2884">
              <w:rPr>
                <w:rFonts w:ascii="Comic Sans MS" w:hAnsi="Comic Sans MS"/>
                <w:b/>
                <w:sz w:val="20"/>
                <w:szCs w:val="20"/>
              </w:rPr>
              <w:t>Lagerfähigkeit</w:t>
            </w:r>
          </w:p>
        </w:tc>
        <w:tc>
          <w:tcPr>
            <w:tcW w:w="7122" w:type="dxa"/>
            <w:gridSpan w:val="2"/>
          </w:tcPr>
          <w:p w:rsidR="00FD4FFB" w:rsidRPr="004D2884" w:rsidRDefault="00FD4FFB" w:rsidP="005A3E3A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bis zu 5</w:t>
            </w:r>
            <w:r w:rsidRPr="004D2884">
              <w:rPr>
                <w:rFonts w:ascii="Comic Sans MS" w:hAnsi="Comic Sans MS"/>
                <w:sz w:val="20"/>
                <w:szCs w:val="20"/>
              </w:rPr>
              <w:t xml:space="preserve"> Jahre</w:t>
            </w:r>
          </w:p>
        </w:tc>
      </w:tr>
    </w:tbl>
    <w:p w:rsidR="008F4599" w:rsidRDefault="008F4599"/>
    <w:sectPr w:rsidR="008F4599" w:rsidSect="008F45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FFB"/>
    <w:rsid w:val="008F4599"/>
    <w:rsid w:val="00FD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Aumüller</dc:creator>
  <cp:lastModifiedBy>Aumüller</cp:lastModifiedBy>
  <cp:revision>1</cp:revision>
  <dcterms:created xsi:type="dcterms:W3CDTF">2011-05-25T14:49:00Z</dcterms:created>
  <dcterms:modified xsi:type="dcterms:W3CDTF">2011-05-25T14:50:00Z</dcterms:modified>
</cp:coreProperties>
</file>